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07607" w14:textId="77777777" w:rsidR="00F76DDF" w:rsidRPr="00F76DDF" w:rsidRDefault="00F76DDF" w:rsidP="00F76DDF">
      <w:pPr>
        <w:widowControl/>
        <w:spacing w:before="100" w:beforeAutospacing="1" w:after="100" w:afterAutospacing="1"/>
        <w:jc w:val="left"/>
        <w:outlineLvl w:val="0"/>
        <w:rPr>
          <w:rFonts w:ascii="Times" w:eastAsia="Times New Roman" w:hAnsi="Times"/>
          <w:b/>
          <w:bCs/>
          <w:kern w:val="36"/>
          <w:sz w:val="48"/>
          <w:szCs w:val="48"/>
        </w:rPr>
      </w:pPr>
      <w:r w:rsidRPr="00F76DDF">
        <w:rPr>
          <w:rFonts w:ascii="Times" w:eastAsia="Times New Roman" w:hAnsi="Times"/>
          <w:b/>
          <w:bCs/>
          <w:kern w:val="36"/>
          <w:sz w:val="48"/>
          <w:szCs w:val="48"/>
        </w:rPr>
        <w:t>Gabon External debt</w:t>
      </w:r>
    </w:p>
    <w:p w14:paraId="12BCB254" w14:textId="77777777" w:rsidR="00F76DDF" w:rsidRPr="00F76DDF" w:rsidRDefault="00F76DDF" w:rsidP="00F76DDF">
      <w:pPr>
        <w:widowControl/>
        <w:spacing w:before="100" w:beforeAutospacing="1" w:after="100" w:afterAutospacing="1"/>
        <w:jc w:val="left"/>
        <w:rPr>
          <w:rFonts w:ascii="Times" w:hAnsi="Times"/>
          <w:kern w:val="0"/>
          <w:sz w:val="20"/>
          <w:szCs w:val="20"/>
        </w:rPr>
      </w:pPr>
      <w:hyperlink r:id="rId6" w:history="1">
        <w:r w:rsidRPr="00F76DDF">
          <w:rPr>
            <w:rFonts w:ascii="Times" w:hAnsi="Times"/>
            <w:color w:val="0000FF"/>
            <w:kern w:val="0"/>
            <w:sz w:val="20"/>
            <w:szCs w:val="20"/>
            <w:u w:val="single"/>
          </w:rPr>
          <w:t>Factbook</w:t>
        </w:r>
      </w:hyperlink>
      <w:r w:rsidRPr="00F76DDF">
        <w:rPr>
          <w:rFonts w:ascii="Times" w:hAnsi="Times"/>
          <w:kern w:val="0"/>
          <w:sz w:val="20"/>
          <w:szCs w:val="20"/>
        </w:rPr>
        <w:t xml:space="preserve"> &gt; </w:t>
      </w:r>
      <w:hyperlink r:id="rId7" w:history="1">
        <w:r w:rsidRPr="00F76DDF">
          <w:rPr>
            <w:rFonts w:ascii="Times" w:hAnsi="Times"/>
            <w:color w:val="0000FF"/>
            <w:kern w:val="0"/>
            <w:sz w:val="20"/>
            <w:szCs w:val="20"/>
            <w:u w:val="single"/>
          </w:rPr>
          <w:t>Countries</w:t>
        </w:r>
      </w:hyperlink>
      <w:r w:rsidRPr="00F76DDF">
        <w:rPr>
          <w:rFonts w:ascii="Times" w:hAnsi="Times"/>
          <w:kern w:val="0"/>
          <w:sz w:val="20"/>
          <w:szCs w:val="20"/>
        </w:rPr>
        <w:t xml:space="preserve"> &gt; </w:t>
      </w:r>
      <w:hyperlink r:id="rId8" w:history="1">
        <w:r w:rsidRPr="00F76DDF">
          <w:rPr>
            <w:rFonts w:ascii="Times" w:hAnsi="Times"/>
            <w:color w:val="0000FF"/>
            <w:kern w:val="0"/>
            <w:sz w:val="20"/>
            <w:szCs w:val="20"/>
            <w:u w:val="single"/>
          </w:rPr>
          <w:t>Gabon</w:t>
        </w:r>
      </w:hyperlink>
      <w:r w:rsidRPr="00F76DDF">
        <w:rPr>
          <w:rFonts w:ascii="Times" w:hAnsi="Times"/>
          <w:kern w:val="0"/>
          <w:sz w:val="20"/>
          <w:szCs w:val="20"/>
        </w:rPr>
        <w:t xml:space="preserve"> &gt; </w:t>
      </w:r>
      <w:hyperlink r:id="rId9" w:anchor="Economy" w:history="1">
        <w:r w:rsidRPr="00F76DDF">
          <w:rPr>
            <w:rFonts w:ascii="Times" w:hAnsi="Times"/>
            <w:color w:val="0000FF"/>
            <w:kern w:val="0"/>
            <w:sz w:val="20"/>
            <w:szCs w:val="20"/>
            <w:u w:val="single"/>
          </w:rPr>
          <w:t>Economy</w:t>
        </w:r>
      </w:hyperlink>
      <w:bookmarkStart w:id="0" w:name="_GoBack"/>
      <w:bookmarkEnd w:id="0"/>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37"/>
        <w:gridCol w:w="6951"/>
      </w:tblGrid>
      <w:tr w:rsidR="00F76DDF" w:rsidRPr="00F76DDF" w14:paraId="169E8E0E" w14:textId="77777777" w:rsidTr="00F76DDF">
        <w:trPr>
          <w:tblCellSpacing w:w="15" w:type="dxa"/>
        </w:trPr>
        <w:tc>
          <w:tcPr>
            <w:tcW w:w="0" w:type="auto"/>
            <w:hideMark/>
          </w:tcPr>
          <w:p w14:paraId="6C11F470" w14:textId="77777777" w:rsidR="00F76DDF" w:rsidRPr="00F76DDF" w:rsidRDefault="00F76DDF" w:rsidP="00F76DDF">
            <w:pPr>
              <w:widowControl/>
              <w:jc w:val="left"/>
              <w:divId w:val="2128621492"/>
              <w:rPr>
                <w:rFonts w:ascii="Times" w:eastAsia="Times New Roman" w:hAnsi="Times"/>
                <w:kern w:val="0"/>
                <w:sz w:val="20"/>
                <w:szCs w:val="20"/>
              </w:rPr>
            </w:pPr>
            <w:r w:rsidRPr="00F76DDF">
              <w:rPr>
                <w:rFonts w:ascii="Times" w:eastAsia="Times New Roman" w:hAnsi="Times"/>
                <w:color w:val="000000"/>
                <w:kern w:val="0"/>
                <w:sz w:val="20"/>
                <w:szCs w:val="20"/>
              </w:rPr>
              <w:t> </w:t>
            </w:r>
            <w:r w:rsidRPr="00F76DDF">
              <w:rPr>
                <w:rFonts w:ascii="Times" w:eastAsia="Times New Roman" w:hAnsi="Times"/>
                <w:kern w:val="0"/>
                <w:sz w:val="20"/>
                <w:szCs w:val="20"/>
              </w:rPr>
              <w:t xml:space="preserve"> </w:t>
            </w:r>
            <w:r w:rsidRPr="00F76DDF">
              <w:rPr>
                <w:rFonts w:ascii="Times" w:eastAsia="Times New Roman" w:hAnsi="Times"/>
                <w:color w:val="000000"/>
                <w:kern w:val="0"/>
                <w:sz w:val="20"/>
                <w:szCs w:val="20"/>
              </w:rPr>
              <w:t> </w:t>
            </w:r>
            <w:r w:rsidRPr="00F76DDF">
              <w:rPr>
                <w:rFonts w:ascii="Times" w:eastAsia="Times New Roman" w:hAnsi="Times"/>
                <w:kern w:val="0"/>
                <w:sz w:val="20"/>
                <w:szCs w:val="20"/>
              </w:rPr>
              <w:t xml:space="preserve"> </w:t>
            </w:r>
            <w:r w:rsidRPr="00F76DDF">
              <w:rPr>
                <w:rFonts w:ascii="Times" w:eastAsia="Times New Roman" w:hAnsi="Times"/>
                <w:color w:val="000000"/>
                <w:kern w:val="0"/>
                <w:sz w:val="20"/>
                <w:szCs w:val="20"/>
              </w:rPr>
              <w:t> </w:t>
            </w:r>
            <w:r w:rsidRPr="00F76DDF">
              <w:rPr>
                <w:rFonts w:ascii="Times" w:eastAsia="Times New Roman" w:hAnsi="Times"/>
                <w:kern w:val="0"/>
                <w:sz w:val="20"/>
                <w:szCs w:val="20"/>
              </w:rPr>
              <w:t xml:space="preserve"> </w:t>
            </w:r>
            <w:r w:rsidRPr="00F76DDF">
              <w:rPr>
                <w:rFonts w:ascii="Times" w:eastAsia="Times New Roman" w:hAnsi="Times"/>
                <w:color w:val="000000"/>
                <w:kern w:val="0"/>
                <w:sz w:val="20"/>
                <w:szCs w:val="20"/>
              </w:rPr>
              <w:t> </w:t>
            </w:r>
            <w:r w:rsidRPr="00F76DDF">
              <w:rPr>
                <w:rFonts w:ascii="Times" w:eastAsia="Times New Roman" w:hAnsi="Times"/>
                <w:kern w:val="0"/>
                <w:sz w:val="20"/>
                <w:szCs w:val="20"/>
              </w:rPr>
              <w:t xml:space="preserve"> </w:t>
            </w:r>
            <w:r w:rsidRPr="00F76DDF">
              <w:rPr>
                <w:rFonts w:ascii="Times" w:eastAsia="Times New Roman" w:hAnsi="Times"/>
                <w:color w:val="000000"/>
                <w:kern w:val="0"/>
                <w:sz w:val="20"/>
                <w:szCs w:val="20"/>
              </w:rPr>
              <w:t> </w:t>
            </w:r>
            <w:r w:rsidRPr="00F76DDF">
              <w:rPr>
                <w:rFonts w:ascii="Times" w:eastAsia="Times New Roman" w:hAnsi="Times"/>
                <w:kern w:val="0"/>
                <w:sz w:val="20"/>
                <w:szCs w:val="20"/>
              </w:rPr>
              <w:t xml:space="preserve"> </w:t>
            </w:r>
            <w:proofErr w:type="spellStart"/>
            <w:r w:rsidRPr="00F76DDF">
              <w:rPr>
                <w:rFonts w:ascii="Times" w:eastAsia="Times New Roman" w:hAnsi="Times"/>
                <w:color w:val="000000"/>
                <w:kern w:val="0"/>
                <w:sz w:val="20"/>
                <w:szCs w:val="20"/>
              </w:rPr>
              <w:t>ShareThis</w:t>
            </w:r>
            <w:proofErr w:type="spellEnd"/>
            <w:r w:rsidRPr="00F76DDF">
              <w:rPr>
                <w:rFonts w:ascii="Times" w:eastAsia="Times New Roman" w:hAnsi="Times"/>
                <w:kern w:val="0"/>
                <w:sz w:val="20"/>
                <w:szCs w:val="20"/>
              </w:rPr>
              <w:t xml:space="preserve"> </w:t>
            </w:r>
          </w:p>
        </w:tc>
        <w:tc>
          <w:tcPr>
            <w:tcW w:w="0" w:type="auto"/>
            <w:hideMark/>
          </w:tcPr>
          <w:p w14:paraId="07DB682C" w14:textId="77777777" w:rsidR="00F76DDF" w:rsidRPr="00F76DDF" w:rsidRDefault="00F76DDF" w:rsidP="00F76DDF">
            <w:pPr>
              <w:widowControl/>
              <w:spacing w:before="100" w:beforeAutospacing="1" w:after="100" w:afterAutospacing="1"/>
              <w:jc w:val="left"/>
              <w:rPr>
                <w:rFonts w:ascii="Times" w:hAnsi="Times"/>
                <w:kern w:val="0"/>
                <w:sz w:val="20"/>
                <w:szCs w:val="20"/>
              </w:rPr>
            </w:pPr>
            <w:r w:rsidRPr="00F76DDF">
              <w:rPr>
                <w:rFonts w:ascii="Times" w:hAnsi="Times"/>
                <w:b/>
                <w:bCs/>
                <w:kern w:val="0"/>
                <w:sz w:val="20"/>
                <w:szCs w:val="20"/>
              </w:rPr>
              <w:t xml:space="preserve">External debt: </w:t>
            </w:r>
            <w:r w:rsidRPr="00F76DDF">
              <w:rPr>
                <w:rFonts w:ascii="Times" w:hAnsi="Times"/>
                <w:kern w:val="0"/>
                <w:sz w:val="20"/>
                <w:szCs w:val="20"/>
              </w:rPr>
              <w:t xml:space="preserve">$3.433 billion (31 December 2013 est.) </w:t>
            </w:r>
            <w:r w:rsidRPr="00F76DDF">
              <w:rPr>
                <w:rFonts w:ascii="Times" w:hAnsi="Times"/>
                <w:kern w:val="0"/>
                <w:sz w:val="20"/>
                <w:szCs w:val="20"/>
              </w:rPr>
              <w:br/>
              <w:t>$3.196 billion (31 December 2012 est.)</w:t>
            </w:r>
          </w:p>
          <w:p w14:paraId="073820A7" w14:textId="77777777" w:rsidR="00F76DDF" w:rsidRPr="00F76DDF" w:rsidRDefault="00F76DDF" w:rsidP="00F76DDF">
            <w:pPr>
              <w:widowControl/>
              <w:spacing w:before="100" w:beforeAutospacing="1" w:after="100" w:afterAutospacing="1"/>
              <w:jc w:val="left"/>
              <w:rPr>
                <w:rFonts w:ascii="Times" w:hAnsi="Times"/>
                <w:kern w:val="0"/>
                <w:sz w:val="20"/>
                <w:szCs w:val="20"/>
              </w:rPr>
            </w:pPr>
            <w:r w:rsidRPr="00F76DDF">
              <w:rPr>
                <w:rFonts w:ascii="Times" w:hAnsi="Times"/>
                <w:b/>
                <w:bCs/>
                <w:kern w:val="0"/>
                <w:sz w:val="20"/>
                <w:szCs w:val="20"/>
              </w:rPr>
              <w:t>Definition:</w:t>
            </w:r>
            <w:r w:rsidRPr="00F76DDF">
              <w:rPr>
                <w:rFonts w:ascii="Times" w:hAnsi="Times"/>
                <w:kern w:val="0"/>
                <w:sz w:val="20"/>
                <w:szCs w:val="20"/>
              </w:rPr>
              <w:t xml:space="preserve"> This entry gives the total public and private debt owed to nonresidents repayable in foreign currency, goods, or services. These figures are calculated on an exchange rate basis, i.e., not in purchasing power parity (PPP) terms.</w:t>
            </w:r>
          </w:p>
          <w:p w14:paraId="0F4950C8" w14:textId="77777777" w:rsidR="00F76DDF" w:rsidRPr="00F76DDF" w:rsidRDefault="00F76DDF" w:rsidP="00F76DDF">
            <w:pPr>
              <w:widowControl/>
              <w:spacing w:before="100" w:beforeAutospacing="1" w:after="100" w:afterAutospacing="1"/>
              <w:jc w:val="left"/>
              <w:rPr>
                <w:rFonts w:ascii="Times" w:hAnsi="Times"/>
                <w:kern w:val="0"/>
                <w:sz w:val="20"/>
                <w:szCs w:val="20"/>
              </w:rPr>
            </w:pPr>
            <w:r w:rsidRPr="00F76DDF">
              <w:rPr>
                <w:rFonts w:ascii="Times" w:hAnsi="Times"/>
                <w:b/>
                <w:bCs/>
                <w:kern w:val="0"/>
                <w:sz w:val="20"/>
                <w:szCs w:val="20"/>
              </w:rPr>
              <w:t>Source:</w:t>
            </w:r>
            <w:r w:rsidRPr="00F76DDF">
              <w:rPr>
                <w:rFonts w:ascii="Times" w:hAnsi="Times"/>
                <w:kern w:val="0"/>
                <w:sz w:val="20"/>
                <w:szCs w:val="20"/>
              </w:rPr>
              <w:t xml:space="preserve"> </w:t>
            </w:r>
            <w:hyperlink r:id="rId10" w:history="1">
              <w:r w:rsidRPr="00F76DDF">
                <w:rPr>
                  <w:rFonts w:ascii="Times" w:hAnsi="Times"/>
                  <w:color w:val="0000FF"/>
                  <w:kern w:val="0"/>
                  <w:sz w:val="20"/>
                  <w:szCs w:val="20"/>
                  <w:u w:val="single"/>
                </w:rPr>
                <w:t>CIA World Factbook</w:t>
              </w:r>
            </w:hyperlink>
            <w:r w:rsidRPr="00F76DDF">
              <w:rPr>
                <w:rFonts w:ascii="Times" w:hAnsi="Times"/>
                <w:kern w:val="0"/>
                <w:sz w:val="20"/>
                <w:szCs w:val="20"/>
              </w:rPr>
              <w:t xml:space="preserve"> - Unless otherwise noted, information in this page is accurate as of August 23, </w:t>
            </w:r>
            <w:r w:rsidRPr="00571444">
              <w:rPr>
                <w:rFonts w:ascii="Times" w:hAnsi="Times"/>
                <w:kern w:val="0"/>
                <w:sz w:val="20"/>
                <w:szCs w:val="20"/>
                <w:highlight w:val="cyan"/>
              </w:rPr>
              <w:t>2014</w:t>
            </w:r>
          </w:p>
          <w:p w14:paraId="0AACBF48" w14:textId="77777777" w:rsidR="00F76DDF" w:rsidRPr="00F76DDF" w:rsidRDefault="00F76DDF" w:rsidP="00F76DDF">
            <w:pPr>
              <w:widowControl/>
              <w:jc w:val="left"/>
              <w:rPr>
                <w:rFonts w:ascii="Times" w:eastAsia="Times New Roman" w:hAnsi="Times"/>
                <w:kern w:val="0"/>
                <w:sz w:val="20"/>
                <w:szCs w:val="20"/>
              </w:rPr>
            </w:pPr>
            <w:r w:rsidRPr="00F76DDF">
              <w:rPr>
                <w:rFonts w:ascii="Times" w:eastAsia="Times New Roman" w:hAnsi="Times"/>
                <w:b/>
                <w:bCs/>
                <w:kern w:val="0"/>
                <w:sz w:val="20"/>
                <w:szCs w:val="20"/>
              </w:rPr>
              <w:t>See Also</w:t>
            </w:r>
          </w:p>
          <w:p w14:paraId="2032F098" w14:textId="77777777" w:rsidR="00F76DDF" w:rsidRPr="00F76DDF" w:rsidRDefault="00571444" w:rsidP="00F76DDF">
            <w:pPr>
              <w:widowControl/>
              <w:numPr>
                <w:ilvl w:val="0"/>
                <w:numId w:val="1"/>
              </w:numPr>
              <w:spacing w:before="100" w:beforeAutospacing="1" w:after="100" w:afterAutospacing="1"/>
              <w:jc w:val="left"/>
              <w:rPr>
                <w:rFonts w:ascii="Times" w:eastAsia="Times New Roman" w:hAnsi="Times"/>
                <w:kern w:val="0"/>
                <w:sz w:val="20"/>
                <w:szCs w:val="20"/>
              </w:rPr>
            </w:pPr>
            <w:hyperlink r:id="rId11" w:history="1">
              <w:r w:rsidR="00F76DDF" w:rsidRPr="00F76DDF">
                <w:rPr>
                  <w:rFonts w:ascii="Times" w:eastAsia="Times New Roman" w:hAnsi="Times"/>
                  <w:color w:val="0000FF"/>
                  <w:kern w:val="0"/>
                  <w:sz w:val="20"/>
                  <w:szCs w:val="20"/>
                  <w:u w:val="single"/>
                </w:rPr>
                <w:t>External debt by year chart</w:t>
              </w:r>
            </w:hyperlink>
          </w:p>
          <w:p w14:paraId="5D44BCFA" w14:textId="77777777" w:rsidR="00F76DDF" w:rsidRPr="00F76DDF" w:rsidRDefault="00571444" w:rsidP="00F76DDF">
            <w:pPr>
              <w:widowControl/>
              <w:numPr>
                <w:ilvl w:val="0"/>
                <w:numId w:val="1"/>
              </w:numPr>
              <w:spacing w:before="100" w:beforeAutospacing="1" w:after="100" w:afterAutospacing="1"/>
              <w:jc w:val="left"/>
              <w:rPr>
                <w:rFonts w:ascii="Times" w:eastAsia="Times New Roman" w:hAnsi="Times"/>
                <w:kern w:val="0"/>
                <w:sz w:val="20"/>
                <w:szCs w:val="20"/>
              </w:rPr>
            </w:pPr>
            <w:hyperlink r:id="rId12" w:history="1">
              <w:r w:rsidR="00F76DDF" w:rsidRPr="00F76DDF">
                <w:rPr>
                  <w:rFonts w:ascii="Times" w:eastAsia="Times New Roman" w:hAnsi="Times"/>
                  <w:color w:val="0000FF"/>
                  <w:kern w:val="0"/>
                  <w:sz w:val="20"/>
                  <w:szCs w:val="20"/>
                  <w:u w:val="single"/>
                </w:rPr>
                <w:t>External debt rank chart</w:t>
              </w:r>
            </w:hyperlink>
          </w:p>
          <w:p w14:paraId="3112A0C8" w14:textId="77777777" w:rsidR="00F76DDF" w:rsidRPr="00F76DDF" w:rsidRDefault="00571444" w:rsidP="00F76DDF">
            <w:pPr>
              <w:widowControl/>
              <w:numPr>
                <w:ilvl w:val="0"/>
                <w:numId w:val="1"/>
              </w:numPr>
              <w:spacing w:before="100" w:beforeAutospacing="1" w:after="100" w:afterAutospacing="1"/>
              <w:jc w:val="left"/>
              <w:rPr>
                <w:rFonts w:ascii="Times" w:eastAsia="Times New Roman" w:hAnsi="Times"/>
                <w:kern w:val="0"/>
                <w:sz w:val="20"/>
                <w:szCs w:val="20"/>
              </w:rPr>
            </w:pPr>
            <w:hyperlink r:id="rId13" w:history="1">
              <w:r w:rsidR="00F76DDF" w:rsidRPr="00F76DDF">
                <w:rPr>
                  <w:rFonts w:ascii="Times" w:eastAsia="Times New Roman" w:hAnsi="Times"/>
                  <w:color w:val="0000FF"/>
                  <w:kern w:val="0"/>
                  <w:sz w:val="20"/>
                  <w:szCs w:val="20"/>
                  <w:u w:val="single"/>
                </w:rPr>
                <w:t>External debt - comparative map</w:t>
              </w:r>
            </w:hyperlink>
          </w:p>
          <w:p w14:paraId="32AEE9F4" w14:textId="77777777" w:rsidR="00F76DDF" w:rsidRPr="00F76DDF" w:rsidRDefault="00571444" w:rsidP="00F76DDF">
            <w:pPr>
              <w:widowControl/>
              <w:numPr>
                <w:ilvl w:val="0"/>
                <w:numId w:val="1"/>
              </w:numPr>
              <w:spacing w:before="100" w:beforeAutospacing="1" w:after="100" w:afterAutospacing="1"/>
              <w:jc w:val="left"/>
              <w:rPr>
                <w:rFonts w:ascii="Times" w:eastAsia="Times New Roman" w:hAnsi="Times"/>
                <w:kern w:val="0"/>
                <w:sz w:val="20"/>
                <w:szCs w:val="20"/>
              </w:rPr>
            </w:pPr>
            <w:hyperlink r:id="rId14" w:history="1">
              <w:r w:rsidR="00F76DDF" w:rsidRPr="00F76DDF">
                <w:rPr>
                  <w:rFonts w:ascii="Times" w:eastAsia="Times New Roman" w:hAnsi="Times"/>
                  <w:color w:val="0000FF"/>
                  <w:kern w:val="0"/>
                  <w:sz w:val="20"/>
                  <w:szCs w:val="20"/>
                  <w:u w:val="single"/>
                </w:rPr>
                <w:t>External debt stocks, total (DOD, current US$) - thematic map - World Bank indicator</w:t>
              </w:r>
            </w:hyperlink>
          </w:p>
          <w:p w14:paraId="7B52128C" w14:textId="77777777" w:rsidR="00F76DDF" w:rsidRPr="00F76DDF" w:rsidRDefault="00571444" w:rsidP="00F76DDF">
            <w:pPr>
              <w:widowControl/>
              <w:numPr>
                <w:ilvl w:val="0"/>
                <w:numId w:val="1"/>
              </w:numPr>
              <w:spacing w:before="100" w:beforeAutospacing="1" w:after="100" w:afterAutospacing="1"/>
              <w:jc w:val="left"/>
              <w:rPr>
                <w:rFonts w:ascii="Times" w:eastAsia="Times New Roman" w:hAnsi="Times"/>
                <w:kern w:val="0"/>
                <w:sz w:val="20"/>
                <w:szCs w:val="20"/>
              </w:rPr>
            </w:pPr>
            <w:hyperlink r:id="rId15" w:history="1">
              <w:r w:rsidR="00F76DDF" w:rsidRPr="00F76DDF">
                <w:rPr>
                  <w:rFonts w:ascii="Times" w:eastAsia="Times New Roman" w:hAnsi="Times"/>
                  <w:color w:val="0000FF"/>
                  <w:kern w:val="0"/>
                  <w:sz w:val="20"/>
                  <w:szCs w:val="20"/>
                  <w:u w:val="single"/>
                </w:rPr>
                <w:t>External debt stocks, total (DOD, current US$) - country comparison - World Bank indicator</w:t>
              </w:r>
            </w:hyperlink>
          </w:p>
        </w:tc>
      </w:tr>
    </w:tbl>
    <w:p w14:paraId="5BBC790A" w14:textId="77777777" w:rsidR="00A301D6" w:rsidRDefault="00A301D6"/>
    <w:p w14:paraId="687C592F" w14:textId="77777777" w:rsidR="00F76DDF" w:rsidRDefault="00F76DDF">
      <w:r w:rsidRPr="00F76DDF">
        <w:t>www.indexmundi.com/gabon/debt_external.html</w:t>
      </w:r>
    </w:p>
    <w:sectPr w:rsidR="00F76DDF" w:rsidSect="00A301D6">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Osaka"/>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明朝 Pro W3">
    <w:panose1 w:val="02020300000000000000"/>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63EAC"/>
    <w:multiLevelType w:val="multilevel"/>
    <w:tmpl w:val="2E747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DDF"/>
    <w:rsid w:val="00571444"/>
    <w:rsid w:val="00A301D6"/>
    <w:rsid w:val="00F76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F9A5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ヒラギノ明朝 Pro W3" w:hAnsi="Times New Roman" w:cs="Times New Roman"/>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F76DDF"/>
    <w:pPr>
      <w:widowControl/>
      <w:spacing w:before="100" w:beforeAutospacing="1" w:after="100" w:afterAutospacing="1"/>
      <w:jc w:val="left"/>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76DDF"/>
    <w:rPr>
      <w:rFonts w:ascii="Times" w:hAnsi="Times"/>
      <w:b/>
      <w:bCs/>
      <w:kern w:val="36"/>
      <w:sz w:val="48"/>
      <w:szCs w:val="48"/>
    </w:rPr>
  </w:style>
  <w:style w:type="paragraph" w:styleId="Web">
    <w:name w:val="Normal (Web)"/>
    <w:basedOn w:val="a"/>
    <w:uiPriority w:val="99"/>
    <w:semiHidden/>
    <w:unhideWhenUsed/>
    <w:rsid w:val="00F76DDF"/>
    <w:pPr>
      <w:widowControl/>
      <w:spacing w:before="100" w:beforeAutospacing="1" w:after="100" w:afterAutospacing="1"/>
      <w:jc w:val="left"/>
    </w:pPr>
    <w:rPr>
      <w:rFonts w:ascii="Times" w:hAnsi="Times"/>
      <w:kern w:val="0"/>
      <w:sz w:val="20"/>
      <w:szCs w:val="20"/>
    </w:rPr>
  </w:style>
  <w:style w:type="character" w:styleId="a3">
    <w:name w:val="Hyperlink"/>
    <w:basedOn w:val="a0"/>
    <w:uiPriority w:val="99"/>
    <w:semiHidden/>
    <w:unhideWhenUsed/>
    <w:rsid w:val="00F76DDF"/>
    <w:rPr>
      <w:color w:val="0000FF"/>
      <w:u w:val="single"/>
    </w:rPr>
  </w:style>
  <w:style w:type="character" w:customStyle="1" w:styleId="chicklets">
    <w:name w:val="chicklets"/>
    <w:basedOn w:val="a0"/>
    <w:rsid w:val="00F76DD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ヒラギノ明朝 Pro W3" w:hAnsi="Times New Roman" w:cs="Times New Roman"/>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F76DDF"/>
    <w:pPr>
      <w:widowControl/>
      <w:spacing w:before="100" w:beforeAutospacing="1" w:after="100" w:afterAutospacing="1"/>
      <w:jc w:val="left"/>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76DDF"/>
    <w:rPr>
      <w:rFonts w:ascii="Times" w:hAnsi="Times"/>
      <w:b/>
      <w:bCs/>
      <w:kern w:val="36"/>
      <w:sz w:val="48"/>
      <w:szCs w:val="48"/>
    </w:rPr>
  </w:style>
  <w:style w:type="paragraph" w:styleId="Web">
    <w:name w:val="Normal (Web)"/>
    <w:basedOn w:val="a"/>
    <w:uiPriority w:val="99"/>
    <w:semiHidden/>
    <w:unhideWhenUsed/>
    <w:rsid w:val="00F76DDF"/>
    <w:pPr>
      <w:widowControl/>
      <w:spacing w:before="100" w:beforeAutospacing="1" w:after="100" w:afterAutospacing="1"/>
      <w:jc w:val="left"/>
    </w:pPr>
    <w:rPr>
      <w:rFonts w:ascii="Times" w:hAnsi="Times"/>
      <w:kern w:val="0"/>
      <w:sz w:val="20"/>
      <w:szCs w:val="20"/>
    </w:rPr>
  </w:style>
  <w:style w:type="character" w:styleId="a3">
    <w:name w:val="Hyperlink"/>
    <w:basedOn w:val="a0"/>
    <w:uiPriority w:val="99"/>
    <w:semiHidden/>
    <w:unhideWhenUsed/>
    <w:rsid w:val="00F76DDF"/>
    <w:rPr>
      <w:color w:val="0000FF"/>
      <w:u w:val="single"/>
    </w:rPr>
  </w:style>
  <w:style w:type="character" w:customStyle="1" w:styleId="chicklets">
    <w:name w:val="chicklets"/>
    <w:basedOn w:val="a0"/>
    <w:rsid w:val="00F76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117501">
      <w:bodyDiv w:val="1"/>
      <w:marLeft w:val="0"/>
      <w:marRight w:val="0"/>
      <w:marTop w:val="0"/>
      <w:marBottom w:val="0"/>
      <w:divBdr>
        <w:top w:val="none" w:sz="0" w:space="0" w:color="auto"/>
        <w:left w:val="none" w:sz="0" w:space="0" w:color="auto"/>
        <w:bottom w:val="none" w:sz="0" w:space="0" w:color="auto"/>
        <w:right w:val="none" w:sz="0" w:space="0" w:color="auto"/>
      </w:divBdr>
      <w:divsChild>
        <w:div w:id="478040770">
          <w:marLeft w:val="0"/>
          <w:marRight w:val="0"/>
          <w:marTop w:val="0"/>
          <w:marBottom w:val="0"/>
          <w:divBdr>
            <w:top w:val="none" w:sz="0" w:space="0" w:color="auto"/>
            <w:left w:val="none" w:sz="0" w:space="0" w:color="auto"/>
            <w:bottom w:val="none" w:sz="0" w:space="0" w:color="auto"/>
            <w:right w:val="none" w:sz="0" w:space="0" w:color="auto"/>
          </w:divBdr>
        </w:div>
        <w:div w:id="658115556">
          <w:marLeft w:val="0"/>
          <w:marRight w:val="0"/>
          <w:marTop w:val="0"/>
          <w:marBottom w:val="0"/>
          <w:divBdr>
            <w:top w:val="none" w:sz="0" w:space="0" w:color="auto"/>
            <w:left w:val="none" w:sz="0" w:space="0" w:color="auto"/>
            <w:bottom w:val="none" w:sz="0" w:space="0" w:color="auto"/>
            <w:right w:val="none" w:sz="0" w:space="0" w:color="auto"/>
          </w:divBdr>
          <w:divsChild>
            <w:div w:id="828178987">
              <w:marLeft w:val="0"/>
              <w:marRight w:val="0"/>
              <w:marTop w:val="75"/>
              <w:marBottom w:val="0"/>
              <w:divBdr>
                <w:top w:val="single" w:sz="6" w:space="0" w:color="D4D4D4"/>
                <w:left w:val="single" w:sz="6" w:space="0" w:color="D4D4D4"/>
                <w:bottom w:val="single" w:sz="6" w:space="0" w:color="D4D4D4"/>
                <w:right w:val="single" w:sz="6" w:space="0" w:color="D4D4D4"/>
              </w:divBdr>
              <w:divsChild>
                <w:div w:id="21286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ndexmundi.com/g/g.aspx?c=gb&amp;v=94" TargetMode="External"/><Relationship Id="rId12" Type="http://schemas.openxmlformats.org/officeDocument/2006/relationships/hyperlink" Target="http://www.indexmundi.com/g/r.aspx?c=gb&amp;v=94" TargetMode="External"/><Relationship Id="rId13" Type="http://schemas.openxmlformats.org/officeDocument/2006/relationships/hyperlink" Target="http://www.indexmundi.com/map/?v=94" TargetMode="External"/><Relationship Id="rId14" Type="http://schemas.openxmlformats.org/officeDocument/2006/relationships/hyperlink" Target="http://www.indexmundi.com/facts/indicators/DT.DOD.DECT.CD" TargetMode="External"/><Relationship Id="rId15" Type="http://schemas.openxmlformats.org/officeDocument/2006/relationships/hyperlink" Target="http://www.indexmundi.com/facts/indicators/DT.DOD.DECT.CD/compare?country=ga"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indexmundi.com/factbook/" TargetMode="External"/><Relationship Id="rId7" Type="http://schemas.openxmlformats.org/officeDocument/2006/relationships/hyperlink" Target="http://www.indexmundi.com/factbook/countries" TargetMode="External"/><Relationship Id="rId8" Type="http://schemas.openxmlformats.org/officeDocument/2006/relationships/hyperlink" Target="http://www.indexmundi.com/gabon/" TargetMode="External"/><Relationship Id="rId9" Type="http://schemas.openxmlformats.org/officeDocument/2006/relationships/hyperlink" Target="http://www.indexmundi.com/gabon/" TargetMode="External"/><Relationship Id="rId10" Type="http://schemas.openxmlformats.org/officeDocument/2006/relationships/hyperlink" Target="https://www.cia.gov/library/publications/the-world-factbook/fields/2079.html"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1277</Characters>
  <Application>Microsoft Macintosh Word</Application>
  <DocSecurity>0</DocSecurity>
  <Lines>10</Lines>
  <Paragraphs>2</Paragraphs>
  <ScaleCrop>false</ScaleCrop>
  <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mccartin paul</dc:creator>
  <cp:keywords/>
  <dc:description/>
  <cp:lastModifiedBy>moloney lawrie</cp:lastModifiedBy>
  <cp:revision>2</cp:revision>
  <dcterms:created xsi:type="dcterms:W3CDTF">2014-09-10T04:23:00Z</dcterms:created>
  <dcterms:modified xsi:type="dcterms:W3CDTF">2015-07-27T11:38:00Z</dcterms:modified>
</cp:coreProperties>
</file>